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387932ED" w:rsidR="00214AB7" w:rsidRPr="00EA0D60" w:rsidRDefault="00F243DB" w:rsidP="00214AB7">
      <w:pPr>
        <w:jc w:val="center"/>
      </w:pPr>
      <w:r>
        <w:rPr>
          <w:b/>
          <w:iCs/>
          <w:sz w:val="20"/>
          <w:szCs w:val="20"/>
          <w:u w:val="single"/>
          <w:lang w:val="es-CR"/>
        </w:rPr>
        <w:t>Casierra Quiñonez y otros</w:t>
      </w:r>
      <w:r w:rsidR="00484D15">
        <w:rPr>
          <w:b/>
          <w:iCs/>
          <w:sz w:val="20"/>
          <w:szCs w:val="20"/>
          <w:u w:val="single"/>
          <w:lang w:val="es-CR"/>
        </w:rPr>
        <w:t xml:space="preserve"> </w:t>
      </w:r>
      <w:r w:rsidR="00484D15" w:rsidRPr="00555F00">
        <w:rPr>
          <w:b/>
          <w:i/>
          <w:sz w:val="20"/>
          <w:szCs w:val="20"/>
          <w:u w:val="single"/>
          <w:lang w:val="es-CR"/>
        </w:rPr>
        <w:t>Vs</w:t>
      </w:r>
      <w:r w:rsidR="00484D15" w:rsidRPr="00555F00">
        <w:rPr>
          <w:b/>
          <w:iCs/>
          <w:sz w:val="20"/>
          <w:szCs w:val="20"/>
          <w:u w:val="single"/>
          <w:lang w:val="es-CR"/>
        </w:rPr>
        <w:t xml:space="preserve">. </w:t>
      </w:r>
      <w:r w:rsidR="00484D15">
        <w:rPr>
          <w:b/>
          <w:iCs/>
          <w:sz w:val="20"/>
          <w:szCs w:val="20"/>
          <w:u w:val="single"/>
          <w:lang w:val="es-CR"/>
        </w:rPr>
        <w:t>Ecuador</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6ED6D9B2" w14:textId="1CA3834B" w:rsidR="00484D15" w:rsidRDefault="00484D15" w:rsidP="00097803">
      <w:pPr>
        <w:jc w:val="both"/>
        <w:rPr>
          <w:sz w:val="20"/>
          <w:szCs w:val="20"/>
        </w:rPr>
      </w:pPr>
    </w:p>
    <w:p w14:paraId="47F09BE1" w14:textId="77777777" w:rsidR="00F243DB" w:rsidRDefault="00F243DB" w:rsidP="00097803">
      <w:pPr>
        <w:jc w:val="both"/>
        <w:rPr>
          <w:sz w:val="20"/>
          <w:szCs w:val="20"/>
        </w:rPr>
      </w:pPr>
    </w:p>
    <w:p w14:paraId="2064BEFD" w14:textId="5731B9F5" w:rsidR="00484D15" w:rsidRPr="00484D15" w:rsidRDefault="00484D15" w:rsidP="00097803">
      <w:pPr>
        <w:jc w:val="both"/>
        <w:rPr>
          <w:sz w:val="20"/>
          <w:szCs w:val="20"/>
        </w:rPr>
      </w:pPr>
      <w:r w:rsidRPr="00484D15">
        <w:rPr>
          <w:sz w:val="20"/>
          <w:szCs w:val="20"/>
        </w:rPr>
        <w:t xml:space="preserve">1. </w:t>
      </w:r>
      <w:r>
        <w:rPr>
          <w:sz w:val="20"/>
          <w:szCs w:val="20"/>
        </w:rPr>
        <w:tab/>
      </w:r>
      <w:r w:rsidR="00F243DB" w:rsidRPr="00F243DB">
        <w:rPr>
          <w:sz w:val="20"/>
          <w:szCs w:val="20"/>
        </w:rPr>
        <w:t>El Estado continuará y llevará a cabo, en un plazo razonable y con la debida diligencia, las investigaciones que sean necesarias para determinar las circunstancias de la muerte del señor Luis Eduardo Casierra Quiñonez y las lesiones producidas a sus hermanos Andrés Alejandro y Sebastián Darlin, de apellidos Casierra Quiñonez y, en su caso, juzgar y eventualmente sancionar a la persona o personas responsables, en los términos de los párrafos 176 y 177 de la Sentencia.</w:t>
      </w:r>
    </w:p>
    <w:p w14:paraId="12EC4A77" w14:textId="77777777" w:rsidR="00484D15" w:rsidRPr="00484D15" w:rsidRDefault="00484D15" w:rsidP="00097803">
      <w:pPr>
        <w:jc w:val="both"/>
        <w:rPr>
          <w:sz w:val="20"/>
          <w:szCs w:val="20"/>
        </w:rPr>
      </w:pPr>
    </w:p>
    <w:p w14:paraId="72390986" w14:textId="75BB0EF9" w:rsidR="00F243DB" w:rsidRDefault="00484D15" w:rsidP="00F243DB">
      <w:pPr>
        <w:jc w:val="both"/>
        <w:rPr>
          <w:sz w:val="20"/>
          <w:szCs w:val="20"/>
        </w:rPr>
      </w:pPr>
      <w:r w:rsidRPr="00484D15">
        <w:rPr>
          <w:sz w:val="20"/>
          <w:szCs w:val="20"/>
        </w:rPr>
        <w:t xml:space="preserve">2. </w:t>
      </w:r>
      <w:r>
        <w:rPr>
          <w:sz w:val="20"/>
          <w:szCs w:val="20"/>
        </w:rPr>
        <w:tab/>
      </w:r>
      <w:r w:rsidR="00F243DB" w:rsidRPr="00F243DB">
        <w:rPr>
          <w:sz w:val="20"/>
          <w:szCs w:val="20"/>
        </w:rPr>
        <w:t xml:space="preserve">El Estado brindará el tratamiento médico, psicológico y/o psiquiátrico que requieran las víctimas, en los términos de lo establecido en los párrafos 188 y 189 de </w:t>
      </w:r>
      <w:r w:rsidR="00F243DB">
        <w:rPr>
          <w:sz w:val="20"/>
          <w:szCs w:val="20"/>
        </w:rPr>
        <w:t>la</w:t>
      </w:r>
      <w:r w:rsidR="00F243DB" w:rsidRPr="00F243DB">
        <w:rPr>
          <w:sz w:val="20"/>
          <w:szCs w:val="20"/>
        </w:rPr>
        <w:t xml:space="preserve"> Sentencia. </w:t>
      </w:r>
    </w:p>
    <w:p w14:paraId="5D538A68" w14:textId="77777777" w:rsidR="00F243DB" w:rsidRDefault="00F243DB" w:rsidP="00F243DB">
      <w:pPr>
        <w:jc w:val="both"/>
        <w:rPr>
          <w:sz w:val="20"/>
          <w:szCs w:val="20"/>
        </w:rPr>
      </w:pPr>
    </w:p>
    <w:p w14:paraId="2B92D3A0" w14:textId="38DC6764" w:rsidR="00F243DB" w:rsidRDefault="00A33CFC" w:rsidP="00F243DB">
      <w:pPr>
        <w:jc w:val="both"/>
        <w:rPr>
          <w:sz w:val="20"/>
          <w:szCs w:val="20"/>
        </w:rPr>
      </w:pPr>
      <w:r>
        <w:rPr>
          <w:sz w:val="20"/>
          <w:szCs w:val="20"/>
        </w:rPr>
        <w:t>3</w:t>
      </w:r>
      <w:r w:rsidR="00F243DB" w:rsidRPr="00F243DB">
        <w:rPr>
          <w:sz w:val="20"/>
          <w:szCs w:val="20"/>
        </w:rPr>
        <w:t xml:space="preserve">. </w:t>
      </w:r>
      <w:r w:rsidR="00F243DB">
        <w:rPr>
          <w:sz w:val="20"/>
          <w:szCs w:val="20"/>
        </w:rPr>
        <w:tab/>
      </w:r>
      <w:r w:rsidR="00F243DB" w:rsidRPr="00F243DB">
        <w:rPr>
          <w:sz w:val="20"/>
          <w:szCs w:val="20"/>
        </w:rPr>
        <w:t xml:space="preserve">El Estado renovará la placa conmemorativa para la preservación de la memoria de los hechos del caso en los términos del párrafo 196 de la Sentencia. </w:t>
      </w:r>
    </w:p>
    <w:p w14:paraId="76D0D476" w14:textId="77777777" w:rsidR="00F243DB" w:rsidRDefault="00F243DB" w:rsidP="00F243DB">
      <w:pPr>
        <w:jc w:val="both"/>
        <w:rPr>
          <w:sz w:val="20"/>
          <w:szCs w:val="20"/>
        </w:rPr>
      </w:pPr>
    </w:p>
    <w:p w14:paraId="030E4370" w14:textId="4C1D1F84" w:rsidR="00F243DB" w:rsidRDefault="00A33CFC" w:rsidP="00F243DB">
      <w:pPr>
        <w:jc w:val="both"/>
        <w:rPr>
          <w:sz w:val="20"/>
          <w:szCs w:val="20"/>
        </w:rPr>
      </w:pPr>
      <w:r>
        <w:rPr>
          <w:sz w:val="20"/>
          <w:szCs w:val="20"/>
        </w:rPr>
        <w:t>4</w:t>
      </w:r>
      <w:r w:rsidR="00F243DB" w:rsidRPr="00F243DB">
        <w:rPr>
          <w:sz w:val="20"/>
          <w:szCs w:val="20"/>
        </w:rPr>
        <w:t xml:space="preserve">. </w:t>
      </w:r>
      <w:r w:rsidR="00F243DB">
        <w:rPr>
          <w:sz w:val="20"/>
          <w:szCs w:val="20"/>
        </w:rPr>
        <w:tab/>
      </w:r>
      <w:r w:rsidR="00F243DB" w:rsidRPr="00F243DB">
        <w:rPr>
          <w:sz w:val="20"/>
          <w:szCs w:val="20"/>
        </w:rPr>
        <w:t xml:space="preserve">El Estado adoptará, con arreglo a sus procedimientos constitucionales, las disposiciones legales pertinentes que regulen los parámetros precisos para el uso de la fuerza por parte de los agentes integrantes de los cuerpos de seguridad, conforme con los estándares internacionales en materia de derechos humanos, lo que exige satisfacer los principios de legalidad, finalidad legítima, absoluta necesidad y proporcionalidad, en los términos de los párrafos 201 y 202 de la Sentencia. </w:t>
      </w:r>
    </w:p>
    <w:p w14:paraId="409B5B44" w14:textId="77777777" w:rsidR="00F243DB" w:rsidRDefault="00F243DB" w:rsidP="00F243DB">
      <w:pPr>
        <w:jc w:val="both"/>
        <w:rPr>
          <w:sz w:val="20"/>
          <w:szCs w:val="20"/>
        </w:rPr>
      </w:pPr>
    </w:p>
    <w:p w14:paraId="621666F7" w14:textId="1078F5EA" w:rsidR="00F243DB" w:rsidRDefault="00F243DB" w:rsidP="00F243DB">
      <w:pPr>
        <w:jc w:val="both"/>
        <w:rPr>
          <w:sz w:val="20"/>
          <w:szCs w:val="20"/>
        </w:rPr>
      </w:pPr>
    </w:p>
    <w:p w14:paraId="0B7EBFDE" w14:textId="77777777" w:rsidR="00F243DB" w:rsidRPr="00D042E3" w:rsidRDefault="00F243DB" w:rsidP="00F243DB">
      <w:pPr>
        <w:jc w:val="both"/>
        <w:rPr>
          <w:rFonts w:eastAsia="Cambria" w:cs="Times New Roman"/>
          <w:bCs/>
          <w:sz w:val="24"/>
          <w:szCs w:val="20"/>
          <w:lang w:val="es-ES"/>
        </w:rPr>
      </w:pPr>
    </w:p>
    <w:sectPr w:rsidR="00F243DB" w:rsidRPr="00D042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B28A7" w14:textId="77777777" w:rsidR="00CF3296" w:rsidRDefault="00CF3296" w:rsidP="009F7EF4">
      <w:r>
        <w:separator/>
      </w:r>
    </w:p>
  </w:endnote>
  <w:endnote w:type="continuationSeparator" w:id="0">
    <w:p w14:paraId="4016E955" w14:textId="77777777" w:rsidR="00CF3296" w:rsidRDefault="00CF3296"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C0B05" w14:textId="77777777" w:rsidR="00CF3296" w:rsidRDefault="00CF3296" w:rsidP="009F7EF4">
      <w:r>
        <w:separator/>
      </w:r>
    </w:p>
  </w:footnote>
  <w:footnote w:type="continuationSeparator" w:id="0">
    <w:p w14:paraId="07E66CAD" w14:textId="77777777" w:rsidR="00CF3296" w:rsidRDefault="00CF3296"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6"/>
  </w:num>
  <w:num w:numId="2" w16cid:durableId="1006977419">
    <w:abstractNumId w:val="2"/>
  </w:num>
  <w:num w:numId="3" w16cid:durableId="1898857309">
    <w:abstractNumId w:val="5"/>
  </w:num>
  <w:num w:numId="4" w16cid:durableId="813376198">
    <w:abstractNumId w:val="0"/>
  </w:num>
  <w:num w:numId="5" w16cid:durableId="1301183043">
    <w:abstractNumId w:val="1"/>
  </w:num>
  <w:num w:numId="6" w16cid:durableId="1987202998">
    <w:abstractNumId w:val="3"/>
  </w:num>
  <w:num w:numId="7" w16cid:durableId="83499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25CD3"/>
    <w:rsid w:val="000930F6"/>
    <w:rsid w:val="0009537E"/>
    <w:rsid w:val="00097803"/>
    <w:rsid w:val="00101CC6"/>
    <w:rsid w:val="001426AA"/>
    <w:rsid w:val="001729AE"/>
    <w:rsid w:val="001F3394"/>
    <w:rsid w:val="00206FE0"/>
    <w:rsid w:val="00214AB7"/>
    <w:rsid w:val="00291327"/>
    <w:rsid w:val="00296F77"/>
    <w:rsid w:val="002B3295"/>
    <w:rsid w:val="002E376C"/>
    <w:rsid w:val="003A7E5E"/>
    <w:rsid w:val="003B3915"/>
    <w:rsid w:val="003C561A"/>
    <w:rsid w:val="003E2FF4"/>
    <w:rsid w:val="00400A23"/>
    <w:rsid w:val="00474D04"/>
    <w:rsid w:val="00476F6E"/>
    <w:rsid w:val="00484D15"/>
    <w:rsid w:val="004D4FC6"/>
    <w:rsid w:val="005154EE"/>
    <w:rsid w:val="005A203D"/>
    <w:rsid w:val="005D1A85"/>
    <w:rsid w:val="006022F0"/>
    <w:rsid w:val="00617B3E"/>
    <w:rsid w:val="006A777A"/>
    <w:rsid w:val="006C38A6"/>
    <w:rsid w:val="006E15DE"/>
    <w:rsid w:val="00792165"/>
    <w:rsid w:val="00834F1A"/>
    <w:rsid w:val="00867C2F"/>
    <w:rsid w:val="00876E46"/>
    <w:rsid w:val="00926FFB"/>
    <w:rsid w:val="009832C0"/>
    <w:rsid w:val="009D22BE"/>
    <w:rsid w:val="009D6A26"/>
    <w:rsid w:val="009F7EF4"/>
    <w:rsid w:val="00A1649A"/>
    <w:rsid w:val="00A33CFC"/>
    <w:rsid w:val="00A721F8"/>
    <w:rsid w:val="00AA2296"/>
    <w:rsid w:val="00AA6B2F"/>
    <w:rsid w:val="00AE0035"/>
    <w:rsid w:val="00B03BA7"/>
    <w:rsid w:val="00B11B9B"/>
    <w:rsid w:val="00B32A37"/>
    <w:rsid w:val="00B33305"/>
    <w:rsid w:val="00BA6BA9"/>
    <w:rsid w:val="00BC5824"/>
    <w:rsid w:val="00BE56CA"/>
    <w:rsid w:val="00C04CCC"/>
    <w:rsid w:val="00C4747D"/>
    <w:rsid w:val="00C66067"/>
    <w:rsid w:val="00C807CF"/>
    <w:rsid w:val="00CA1142"/>
    <w:rsid w:val="00CF3296"/>
    <w:rsid w:val="00CF5AE9"/>
    <w:rsid w:val="00D042E3"/>
    <w:rsid w:val="00D26E80"/>
    <w:rsid w:val="00D3440D"/>
    <w:rsid w:val="00D843BF"/>
    <w:rsid w:val="00E42392"/>
    <w:rsid w:val="00E45105"/>
    <w:rsid w:val="00E50670"/>
    <w:rsid w:val="00E507C2"/>
    <w:rsid w:val="00E5304C"/>
    <w:rsid w:val="00E85D9E"/>
    <w:rsid w:val="00ED29C6"/>
    <w:rsid w:val="00F243DB"/>
    <w:rsid w:val="00F50093"/>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213</Words>
  <Characters>1173</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28</cp:revision>
  <cp:lastPrinted>2021-09-15T18:01:00Z</cp:lastPrinted>
  <dcterms:created xsi:type="dcterms:W3CDTF">2018-07-09T19:23:00Z</dcterms:created>
  <dcterms:modified xsi:type="dcterms:W3CDTF">2024-07-17T16:06:00Z</dcterms:modified>
</cp:coreProperties>
</file>